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00" w:lineRule="exact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天津财经大学日常报销规定</w:t>
      </w:r>
    </w:p>
    <w:p>
      <w:pPr>
        <w:numPr>
          <w:ilvl w:val="0"/>
          <w:numId w:val="0"/>
        </w:numPr>
        <w:spacing w:line="4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OLE_LINK1"/>
      <w:bookmarkStart w:id="1" w:name="_GoBack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1、公务卡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消费规定</w:t>
      </w:r>
    </w:p>
    <w:p>
      <w:pPr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黑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= 1 \* GB2 \* MERGEFORMAT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⑴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强制公务卡消费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2014年5月1日</w:t>
      </w:r>
      <w:r>
        <w:rPr>
          <w:rFonts w:hint="eastAsia" w:ascii="宋体" w:hAnsi="宋体" w:eastAsia="宋体" w:cs="宋体"/>
          <w:sz w:val="24"/>
          <w:szCs w:val="24"/>
        </w:rPr>
        <w:t>起，无论金额大小，一律使用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公务卡</w:t>
      </w:r>
      <w:r>
        <w:rPr>
          <w:rFonts w:hint="eastAsia" w:ascii="宋体" w:hAnsi="宋体" w:eastAsia="宋体" w:cs="宋体"/>
          <w:sz w:val="24"/>
          <w:szCs w:val="24"/>
        </w:rPr>
        <w:t>消费。报销时，必须同时提供发票和POS小条（如无法提供小条，可以银行账单或其他证明公务卡消费信息的相关截图代替）。</w:t>
      </w:r>
    </w:p>
    <w:p>
      <w:pPr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= 2 \* GB2 \* MERGEFORMAT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⑵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对公结算（无法采用公务卡消费时，请至财务处112室办理）</w:t>
      </w:r>
    </w:p>
    <w:p>
      <w:pPr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= 1 \* GB3 \* MERGEFORMAT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开</w:t>
      </w:r>
      <w:r>
        <w:rPr>
          <w:rFonts w:hint="eastAsia" w:ascii="宋体" w:hAnsi="宋体" w:cs="宋体"/>
          <w:color w:val="FF0000"/>
          <w:sz w:val="24"/>
          <w:szCs w:val="24"/>
          <w:lang w:eastAsia="zh-CN"/>
        </w:rPr>
        <w:t>基本户</w:t>
      </w:r>
      <w:r>
        <w:rPr>
          <w:rFonts w:hint="eastAsia" w:ascii="宋体" w:hAnsi="宋体" w:eastAsia="宋体" w:cs="宋体"/>
          <w:sz w:val="24"/>
          <w:szCs w:val="24"/>
        </w:rPr>
        <w:t>支票——需要提供准确的对方单位名称；</w:t>
      </w:r>
    </w:p>
    <w:p>
      <w:pPr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= 2 \* GB3 \* MERGEFORMAT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cs="宋体"/>
          <w:sz w:val="24"/>
          <w:szCs w:val="24"/>
          <w:lang w:val="en-US" w:eastAsia="zh-CN"/>
        </w:rPr>
        <w:t>开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零余额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支票、</w:t>
      </w:r>
      <w:r>
        <w:rPr>
          <w:rFonts w:hint="eastAsia" w:ascii="宋体" w:hAnsi="宋体" w:eastAsia="宋体" w:cs="宋体"/>
          <w:sz w:val="24"/>
          <w:szCs w:val="24"/>
        </w:rPr>
        <w:t>网银转账（电汇）——需要提供准确的对方账户名称、账号、开户行明细地址（具体到支行级别）</w:t>
      </w:r>
    </w:p>
    <w:p>
      <w:pPr>
        <w:spacing w:line="4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spacing w:line="400" w:lineRule="exac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2、票据相关规定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= 1 \* GB2 \* MERGEFORMAT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发票抬头只允许填写——天津财经大学；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= 2 \* GB2 \* MERGEFORMAT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办公用品单张200元及以上，电脑配件单张300元及以上，图书单张500元及以上，印刷费单张2000元及以上，均需开具明细；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注：尽量避免整数票据报销；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连号或同一天开具的非连号票据，金额累加处理，规定见上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= 3 \* GB2 \* MERGEFORMAT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报销人应对所报票据的真实性、合理性负责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严禁高档商场、酒店等场所消费，严禁报销与公务无关支出，严禁虚开发票。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3、十二五经费报销规定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此项目包含内容：校级重点学科、中央支持地方发展、十二五学科、十二五专业、十二五卓越人才、新世纪人才、131人才、学科领军人才、中青年骨干创新人才、优秀青年教师、创新团队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= 1 \* GB2 \* MERGEFORMAT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不允许报销打印纸、复印纸、耗材、硒鼓、墨盒、过路费、汽油费、本市交通费、一卡通充值费；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= 2 \* GB2 \* MERGEFORMAT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不允许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本校老师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领取劳务费。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400" w:lineRule="exac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4、科研课题经费报销规定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= 1 \* GB2 \* MERGEFORMAT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课题分类管理办法范围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除国家自然科学基金项目、天津市科技计划项目、横向课题以外的其他类科研课题，均参照《天津财经大学国家社会科学基金项目经费管理办法》执行报销，其中立项费和项目进度保证金参照《天津财经大学横向课题经费管理办法》；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= 2 \* GB2 \* MERGEFORMAT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电话费票据的抬头只能是天津财经大学或者是课题组成员的姓名；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= 3 \* GB2 \* MERGEFORMAT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劳务费和专家咨询费不得支付给课题组成员及项目管理的相关人员；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= 4 \* GB2 \* MERGEFORMAT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所报票据开具时间必须在项目立项以后。</w:t>
      </w:r>
      <w:bookmarkEnd w:id="1"/>
    </w:p>
    <w:bookmarkEnd w:id="0"/>
    <w:p>
      <w:pPr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0D18A7"/>
    <w:rsid w:val="00323B43"/>
    <w:rsid w:val="003D37D8"/>
    <w:rsid w:val="00426133"/>
    <w:rsid w:val="004358AB"/>
    <w:rsid w:val="008B7726"/>
    <w:rsid w:val="00D31D50"/>
    <w:rsid w:val="00F24172"/>
    <w:rsid w:val="017A40DF"/>
    <w:rsid w:val="02AD1136"/>
    <w:rsid w:val="0CFF215F"/>
    <w:rsid w:val="0E613DC7"/>
    <w:rsid w:val="0FF07D56"/>
    <w:rsid w:val="10B5681A"/>
    <w:rsid w:val="1A1839D9"/>
    <w:rsid w:val="39B440B0"/>
    <w:rsid w:val="43B57B21"/>
    <w:rsid w:val="5D84619B"/>
    <w:rsid w:val="6DCC70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881</Characters>
  <Lines>7</Lines>
  <Paragraphs>2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Net2</dc:creator>
  <cp:lastModifiedBy>nkcxg@nankai.edu.cn</cp:lastModifiedBy>
  <dcterms:modified xsi:type="dcterms:W3CDTF">2016-04-19T02:39:20Z</dcterms:modified>
  <dc:title>天津财经大学日常报销规定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